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D9" w:rsidRDefault="00EA6021" w:rsidP="00EA6021">
      <w:pPr>
        <w:pStyle w:val="Otsikko2"/>
      </w:pPr>
      <w:r>
        <w:t>FINELIB-</w:t>
      </w:r>
      <w:r w:rsidRPr="00EA6021">
        <w:t>OHJAUSRYHMÄN</w:t>
      </w:r>
      <w:r>
        <w:t xml:space="preserve"> SÄÄNNÖT </w:t>
      </w:r>
    </w:p>
    <w:p w:rsidR="006409D9" w:rsidRDefault="00EA6021">
      <w:pPr>
        <w:spacing w:after="0" w:line="259" w:lineRule="auto"/>
        <w:ind w:left="0" w:firstLine="0"/>
      </w:pPr>
      <w:r>
        <w:rPr>
          <w:b/>
        </w:rPr>
        <w:t xml:space="preserve"> </w:t>
      </w:r>
    </w:p>
    <w:p w:rsidR="006409D9" w:rsidRDefault="00EA6021" w:rsidP="00EA6021">
      <w:pPr>
        <w:pStyle w:val="Otsikko3"/>
      </w:pPr>
      <w:r>
        <w:t xml:space="preserve">1. FinELib-ohjausryhmä </w:t>
      </w:r>
    </w:p>
    <w:p w:rsidR="006409D9" w:rsidRDefault="00EA6021">
      <w:pPr>
        <w:ind w:left="-5"/>
      </w:pPr>
      <w:r>
        <w:t xml:space="preserve">Ohjausryhmä on FinELib-konsortion jäsenten yhteistyöelin, joka vastaa FinELib-konsortion toiminnan linjauksista ja arvioi vuosittain toiminnan vaikuttavuutta, taloudellisuutta ja tuloksellisuutta. Kansalliskirjasto vastaa FinELib-toimiston toiminnasta. </w:t>
      </w:r>
    </w:p>
    <w:p w:rsidR="006409D9" w:rsidRDefault="00EA6021">
      <w:pPr>
        <w:spacing w:after="0" w:line="259" w:lineRule="auto"/>
        <w:ind w:left="0" w:firstLine="0"/>
      </w:pPr>
      <w:r>
        <w:t xml:space="preserve"> </w:t>
      </w:r>
    </w:p>
    <w:p w:rsidR="006409D9" w:rsidRDefault="00EA6021" w:rsidP="00EA6021">
      <w:pPr>
        <w:pStyle w:val="Otsikko3"/>
      </w:pPr>
      <w:r>
        <w:t xml:space="preserve">2. Ohjausryhmän tehtävät </w:t>
      </w:r>
    </w:p>
    <w:p w:rsidR="006409D9" w:rsidRDefault="00EA6021">
      <w:pPr>
        <w:spacing w:after="31"/>
        <w:ind w:left="-5"/>
      </w:pPr>
      <w:r>
        <w:t xml:space="preserve">FinELib-konsortion toimintaan liittyen ohjausryhmä  </w:t>
      </w:r>
    </w:p>
    <w:p w:rsidR="006409D9" w:rsidRDefault="00EA6021">
      <w:pPr>
        <w:numPr>
          <w:ilvl w:val="0"/>
          <w:numId w:val="1"/>
        </w:numPr>
        <w:ind w:hanging="360"/>
      </w:pPr>
      <w:r>
        <w:t xml:space="preserve">vastaa toiminnan kehittämisestä ja linjauksista </w:t>
      </w:r>
    </w:p>
    <w:p w:rsidR="006409D9" w:rsidRDefault="00EA6021">
      <w:pPr>
        <w:numPr>
          <w:ilvl w:val="0"/>
          <w:numId w:val="1"/>
        </w:numPr>
        <w:ind w:hanging="360"/>
      </w:pPr>
      <w:r>
        <w:t xml:space="preserve">hyväksyy määrärahojen käytön linjaukset </w:t>
      </w:r>
    </w:p>
    <w:p w:rsidR="006409D9" w:rsidRDefault="00EA6021">
      <w:pPr>
        <w:numPr>
          <w:ilvl w:val="0"/>
          <w:numId w:val="1"/>
        </w:numPr>
        <w:ind w:hanging="360"/>
      </w:pPr>
      <w:r>
        <w:t xml:space="preserve">arvioi vuosittain toiminnan vaikuttavuutta, taloudellisuutta ja tuloksellisuutta </w:t>
      </w:r>
    </w:p>
    <w:p w:rsidR="006409D9" w:rsidRDefault="00EA6021">
      <w:pPr>
        <w:spacing w:after="34"/>
        <w:ind w:left="-5"/>
      </w:pPr>
      <w:r>
        <w:t xml:space="preserve">Näiden lisäksi ohjausryhmä </w:t>
      </w:r>
    </w:p>
    <w:p w:rsidR="006409D9" w:rsidRDefault="00EA6021">
      <w:pPr>
        <w:numPr>
          <w:ilvl w:val="0"/>
          <w:numId w:val="1"/>
        </w:numPr>
        <w:ind w:hanging="360"/>
      </w:pPr>
      <w:r>
        <w:t xml:space="preserve">edistää FinELib-konsortion jäsensektoreiden toimintaedellytyksiä </w:t>
      </w:r>
    </w:p>
    <w:p w:rsidR="006409D9" w:rsidRDefault="00EA6021">
      <w:pPr>
        <w:numPr>
          <w:ilvl w:val="0"/>
          <w:numId w:val="1"/>
        </w:numPr>
        <w:spacing w:after="38"/>
        <w:ind w:hanging="360"/>
      </w:pPr>
      <w:r>
        <w:t xml:space="preserve">seuraa elektronisen julkaisutoiminnan kehitystä ja pyrkii vaikuttamaan kustannustoimialan kehitykseen sekä edistää tietämystä toimialasta </w:t>
      </w:r>
    </w:p>
    <w:p w:rsidR="006409D9" w:rsidRDefault="00EA6021">
      <w:pPr>
        <w:numPr>
          <w:ilvl w:val="0"/>
          <w:numId w:val="1"/>
        </w:numPr>
        <w:ind w:hanging="360"/>
      </w:pPr>
      <w:r>
        <w:t xml:space="preserve">edistää kansallista ja kansainvälistä yhteistyötä toimialalla </w:t>
      </w:r>
    </w:p>
    <w:p w:rsidR="006409D9" w:rsidRDefault="00EA6021">
      <w:pPr>
        <w:numPr>
          <w:ilvl w:val="0"/>
          <w:numId w:val="1"/>
        </w:numPr>
        <w:ind w:hanging="360"/>
      </w:pPr>
      <w:r>
        <w:t xml:space="preserve">seuraa verkkoaineistojen käyttöönottoa edistävän teknologian kehitystä </w:t>
      </w:r>
    </w:p>
    <w:p w:rsidR="006409D9" w:rsidRDefault="00EA6021">
      <w:pPr>
        <w:numPr>
          <w:ilvl w:val="0"/>
          <w:numId w:val="1"/>
        </w:numPr>
        <w:ind w:hanging="360"/>
      </w:pPr>
      <w:r>
        <w:t xml:space="preserve">tekee esityksiä, aloitteita ja selvityksiä Kansalliskirjastolle, opetus- ja kulttuuriministeriölle ja muille päättäjille FinELib-konsortion toimintaan liittyvistä kysymyksistä. </w:t>
      </w:r>
    </w:p>
    <w:p w:rsidR="006409D9" w:rsidRDefault="00EA6021">
      <w:pPr>
        <w:spacing w:after="0" w:line="259" w:lineRule="auto"/>
        <w:ind w:left="720" w:firstLine="0"/>
      </w:pPr>
      <w:r>
        <w:t xml:space="preserve"> </w:t>
      </w:r>
    </w:p>
    <w:p w:rsidR="006409D9" w:rsidRDefault="00EA6021" w:rsidP="00EA6021">
      <w:pPr>
        <w:pStyle w:val="Otsikko3"/>
      </w:pPr>
      <w:r>
        <w:t xml:space="preserve">3. Ohjausryhmän kokoonpano ja edustajien valinta </w:t>
      </w:r>
    </w:p>
    <w:p w:rsidR="006409D9" w:rsidRDefault="00EA6021">
      <w:pPr>
        <w:spacing w:after="38"/>
        <w:ind w:left="-5"/>
      </w:pPr>
      <w:r>
        <w:t xml:space="preserve">Ohjausryhmässä ovat edustettuina konsortion jäsensektorit, rahoittajaministeriö sekä muita intressiryhmiä edustavia organisaatioita. </w:t>
      </w:r>
    </w:p>
    <w:p w:rsidR="006409D9" w:rsidRDefault="00EA6021">
      <w:pPr>
        <w:numPr>
          <w:ilvl w:val="0"/>
          <w:numId w:val="2"/>
        </w:numPr>
        <w:spacing w:after="38"/>
        <w:ind w:hanging="360"/>
      </w:pPr>
      <w:r>
        <w:t xml:space="preserve">jäsenorganisaatioiden johdon edustajat: yliopistot, ammattikorkeakoulut, tutkimuslaitokset (yksi edustaja kustakin) </w:t>
      </w:r>
    </w:p>
    <w:p w:rsidR="006409D9" w:rsidRDefault="00EA6021">
      <w:pPr>
        <w:numPr>
          <w:ilvl w:val="0"/>
          <w:numId w:val="2"/>
        </w:numPr>
        <w:ind w:hanging="360"/>
      </w:pPr>
      <w:r>
        <w:t xml:space="preserve">kirjastosektoreiden toimielinten edustajat (kaksi edustajaa kustakin) </w:t>
      </w:r>
    </w:p>
    <w:p w:rsidR="006409D9" w:rsidRDefault="00EA6021">
      <w:pPr>
        <w:numPr>
          <w:ilvl w:val="0"/>
          <w:numId w:val="2"/>
        </w:numPr>
        <w:spacing w:after="38"/>
        <w:ind w:hanging="360"/>
      </w:pPr>
      <w:r>
        <w:t xml:space="preserve">opetus- ja kulttuuriministeriö: jäsensektoreiden toimintaa ja rahoitusta koordinoivien yksiköiden edustajat </w:t>
      </w:r>
    </w:p>
    <w:p w:rsidR="00EA6021" w:rsidRDefault="00EA6021">
      <w:pPr>
        <w:numPr>
          <w:ilvl w:val="0"/>
          <w:numId w:val="2"/>
        </w:numPr>
        <w:ind w:hanging="360"/>
      </w:pPr>
      <w:r>
        <w:t>Aluehallintovirastot: kirjastotoimesta vastaavien yksiköiden edustaja</w:t>
      </w:r>
    </w:p>
    <w:p w:rsidR="006409D9" w:rsidRDefault="00EA6021">
      <w:pPr>
        <w:numPr>
          <w:ilvl w:val="0"/>
          <w:numId w:val="2"/>
        </w:numPr>
        <w:ind w:hanging="360"/>
      </w:pPr>
      <w:r>
        <w:t xml:space="preserve">Kansalliskirjaston edustaja </w:t>
      </w:r>
    </w:p>
    <w:p w:rsidR="006409D9" w:rsidRDefault="00EA6021">
      <w:pPr>
        <w:ind w:left="-5"/>
      </w:pPr>
      <w:r>
        <w:t xml:space="preserve">Kullakin edustajalla tulee olla varaedustaja. Ohjausryhmässä on 10-15 jäsentä. </w:t>
      </w:r>
    </w:p>
    <w:p w:rsidR="009E28C5" w:rsidRDefault="009E28C5">
      <w:pPr>
        <w:ind w:left="-5"/>
      </w:pPr>
    </w:p>
    <w:p w:rsidR="009E28C5" w:rsidRDefault="009E28C5" w:rsidP="009E28C5">
      <w:pPr>
        <w:pStyle w:val="Otsikko4"/>
      </w:pPr>
      <w:r>
        <w:t>EDUSTUS</w:t>
      </w:r>
      <w:r>
        <w:tab/>
      </w:r>
      <w:r>
        <w:tab/>
      </w:r>
      <w:r>
        <w:tab/>
      </w:r>
      <w:r>
        <w:tab/>
      </w:r>
      <w:r>
        <w:t>ESITTÄJÄ</w:t>
      </w:r>
    </w:p>
    <w:p w:rsidR="009E28C5" w:rsidRPr="009E28C5" w:rsidRDefault="009E28C5" w:rsidP="009E28C5">
      <w:pPr>
        <w:ind w:left="-5"/>
        <w:rPr>
          <w:rFonts w:ascii="Calibri Light" w:hAnsi="Calibri Light" w:cs="Calibri Light"/>
          <w:highlight w:val="lightGray"/>
        </w:rPr>
      </w:pPr>
      <w:r w:rsidRPr="009E28C5">
        <w:rPr>
          <w:rFonts w:ascii="Calibri Light" w:hAnsi="Calibri Light" w:cs="Calibri Light"/>
          <w:highlight w:val="lightGray"/>
        </w:rPr>
        <w:t>Yliopistojen johto</w:t>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UNIFI</w:t>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ab/>
      </w:r>
    </w:p>
    <w:p w:rsidR="009E28C5" w:rsidRPr="009E28C5" w:rsidRDefault="009E28C5" w:rsidP="009E28C5">
      <w:pPr>
        <w:ind w:left="-5"/>
        <w:rPr>
          <w:rFonts w:ascii="Calibri Light" w:hAnsi="Calibri Light" w:cs="Calibri Light"/>
        </w:rPr>
      </w:pPr>
      <w:r w:rsidRPr="009E28C5">
        <w:rPr>
          <w:rFonts w:ascii="Calibri Light" w:hAnsi="Calibri Light" w:cs="Calibri Light"/>
        </w:rPr>
        <w:t>Ammattikorkeakoulujen johto</w:t>
      </w:r>
      <w:r w:rsidRPr="009E28C5">
        <w:rPr>
          <w:rFonts w:ascii="Calibri Light" w:hAnsi="Calibri Light" w:cs="Calibri Light"/>
        </w:rPr>
        <w:tab/>
      </w:r>
      <w:r w:rsidRPr="009E28C5">
        <w:rPr>
          <w:rFonts w:ascii="Calibri Light" w:hAnsi="Calibri Light" w:cs="Calibri Light"/>
        </w:rPr>
        <w:tab/>
      </w:r>
      <w:r w:rsidRPr="009E28C5">
        <w:rPr>
          <w:rFonts w:ascii="Calibri Light" w:hAnsi="Calibri Light" w:cs="Calibri Light"/>
        </w:rPr>
        <w:t>ARENE</w:t>
      </w:r>
      <w:r w:rsidRPr="009E28C5">
        <w:rPr>
          <w:rFonts w:ascii="Calibri Light" w:hAnsi="Calibri Light" w:cs="Calibri Light"/>
        </w:rPr>
        <w:tab/>
      </w:r>
      <w:r w:rsidRPr="009E28C5">
        <w:rPr>
          <w:rFonts w:ascii="Calibri Light" w:hAnsi="Calibri Light" w:cs="Calibri Light"/>
        </w:rPr>
        <w:tab/>
      </w:r>
      <w:r w:rsidRPr="009E28C5">
        <w:rPr>
          <w:rFonts w:ascii="Calibri Light" w:hAnsi="Calibri Light" w:cs="Calibri Light"/>
        </w:rPr>
        <w:tab/>
      </w:r>
    </w:p>
    <w:p w:rsidR="009E28C5" w:rsidRPr="009E28C5" w:rsidRDefault="009E28C5" w:rsidP="009E28C5">
      <w:pPr>
        <w:ind w:left="-5"/>
        <w:rPr>
          <w:rFonts w:ascii="Calibri Light" w:hAnsi="Calibri Light" w:cs="Calibri Light"/>
          <w:highlight w:val="lightGray"/>
        </w:rPr>
      </w:pPr>
      <w:r w:rsidRPr="009E28C5">
        <w:rPr>
          <w:rFonts w:ascii="Calibri Light" w:hAnsi="Calibri Light" w:cs="Calibri Light"/>
          <w:highlight w:val="lightGray"/>
        </w:rPr>
        <w:t>Tutkimuslaitosten johto</w:t>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TUNE</w:t>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ab/>
      </w:r>
    </w:p>
    <w:p w:rsidR="009E28C5" w:rsidRPr="009E28C5" w:rsidRDefault="009E28C5" w:rsidP="009E28C5">
      <w:pPr>
        <w:ind w:left="-5"/>
        <w:rPr>
          <w:rFonts w:ascii="Calibri Light" w:hAnsi="Calibri Light" w:cs="Calibri Light"/>
        </w:rPr>
      </w:pPr>
      <w:r w:rsidRPr="009E28C5">
        <w:rPr>
          <w:rFonts w:ascii="Calibri Light" w:hAnsi="Calibri Light" w:cs="Calibri Light"/>
        </w:rPr>
        <w:t>Yliopistokirjastot x 2</w:t>
      </w:r>
      <w:r w:rsidRPr="009E28C5">
        <w:rPr>
          <w:rFonts w:ascii="Calibri Light" w:hAnsi="Calibri Light" w:cs="Calibri Light"/>
        </w:rPr>
        <w:tab/>
      </w:r>
      <w:r w:rsidRPr="009E28C5">
        <w:rPr>
          <w:rFonts w:ascii="Calibri Light" w:hAnsi="Calibri Light" w:cs="Calibri Light"/>
        </w:rPr>
        <w:tab/>
      </w:r>
      <w:r w:rsidRPr="009E28C5">
        <w:rPr>
          <w:rFonts w:ascii="Calibri Light" w:hAnsi="Calibri Light" w:cs="Calibri Light"/>
        </w:rPr>
        <w:tab/>
      </w:r>
      <w:r w:rsidRPr="009E28C5">
        <w:rPr>
          <w:rFonts w:ascii="Calibri Light" w:hAnsi="Calibri Light" w:cs="Calibri Light"/>
        </w:rPr>
        <w:t>Yliopistokirjastojen neuvosto</w:t>
      </w:r>
      <w:r w:rsidRPr="009E28C5">
        <w:rPr>
          <w:rFonts w:ascii="Calibri Light" w:hAnsi="Calibri Light" w:cs="Calibri Light"/>
        </w:rPr>
        <w:tab/>
      </w:r>
      <w:r w:rsidRPr="009E28C5">
        <w:rPr>
          <w:rFonts w:ascii="Calibri Light" w:hAnsi="Calibri Light" w:cs="Calibri Light"/>
        </w:rPr>
        <w:tab/>
      </w:r>
    </w:p>
    <w:p w:rsidR="009E28C5" w:rsidRPr="009E28C5" w:rsidRDefault="009E28C5" w:rsidP="009E28C5">
      <w:pPr>
        <w:ind w:left="-5"/>
        <w:rPr>
          <w:rFonts w:ascii="Calibri Light" w:hAnsi="Calibri Light" w:cs="Calibri Light"/>
          <w:highlight w:val="lightGray"/>
        </w:rPr>
      </w:pPr>
      <w:r w:rsidRPr="009E28C5">
        <w:rPr>
          <w:rFonts w:ascii="Calibri Light" w:hAnsi="Calibri Light" w:cs="Calibri Light"/>
          <w:highlight w:val="lightGray"/>
        </w:rPr>
        <w:t>Ammattikorkeakoulukirjastot x 2</w:t>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AMKIT-konsortio</w:t>
      </w:r>
      <w:r w:rsidRPr="009E28C5">
        <w:rPr>
          <w:rFonts w:ascii="Calibri Light" w:hAnsi="Calibri Light" w:cs="Calibri Light"/>
          <w:highlight w:val="lightGray"/>
        </w:rPr>
        <w:tab/>
      </w:r>
      <w:r w:rsidRPr="009E28C5">
        <w:rPr>
          <w:rFonts w:ascii="Calibri Light" w:hAnsi="Calibri Light" w:cs="Calibri Light"/>
          <w:highlight w:val="lightGray"/>
        </w:rPr>
        <w:tab/>
      </w:r>
    </w:p>
    <w:p w:rsidR="009E28C5" w:rsidRPr="009E28C5" w:rsidRDefault="009E28C5" w:rsidP="009E28C5">
      <w:pPr>
        <w:ind w:left="-5"/>
        <w:rPr>
          <w:rFonts w:ascii="Calibri Light" w:hAnsi="Calibri Light" w:cs="Calibri Light"/>
        </w:rPr>
      </w:pPr>
      <w:r w:rsidRPr="009E28C5">
        <w:rPr>
          <w:rFonts w:ascii="Calibri Light" w:hAnsi="Calibri Light" w:cs="Calibri Light"/>
        </w:rPr>
        <w:t>Tutkimuslaitoskirjastot x 2</w:t>
      </w:r>
      <w:r w:rsidRPr="009E28C5">
        <w:rPr>
          <w:rFonts w:ascii="Calibri Light" w:hAnsi="Calibri Light" w:cs="Calibri Light"/>
        </w:rPr>
        <w:tab/>
      </w:r>
      <w:r w:rsidRPr="009E28C5">
        <w:rPr>
          <w:rFonts w:ascii="Calibri Light" w:hAnsi="Calibri Light" w:cs="Calibri Light"/>
        </w:rPr>
        <w:tab/>
      </w:r>
      <w:r w:rsidRPr="009E28C5">
        <w:rPr>
          <w:rFonts w:ascii="Calibri Light" w:hAnsi="Calibri Light" w:cs="Calibri Light"/>
        </w:rPr>
        <w:tab/>
      </w:r>
      <w:r w:rsidRPr="009E28C5">
        <w:rPr>
          <w:rFonts w:ascii="Calibri Light" w:hAnsi="Calibri Light" w:cs="Calibri Light"/>
        </w:rPr>
        <w:t>Erikoiskirjastojen neuvosto</w:t>
      </w:r>
      <w:r w:rsidRPr="009E28C5">
        <w:rPr>
          <w:rFonts w:ascii="Calibri Light" w:hAnsi="Calibri Light" w:cs="Calibri Light"/>
        </w:rPr>
        <w:tab/>
      </w:r>
      <w:r w:rsidRPr="009E28C5">
        <w:rPr>
          <w:rFonts w:ascii="Calibri Light" w:hAnsi="Calibri Light" w:cs="Calibri Light"/>
        </w:rPr>
        <w:tab/>
      </w:r>
    </w:p>
    <w:p w:rsidR="009E28C5" w:rsidRPr="009E28C5" w:rsidRDefault="009E28C5" w:rsidP="009E28C5">
      <w:pPr>
        <w:ind w:left="-5"/>
        <w:rPr>
          <w:rFonts w:ascii="Calibri Light" w:hAnsi="Calibri Light" w:cs="Calibri Light"/>
          <w:highlight w:val="lightGray"/>
        </w:rPr>
      </w:pPr>
      <w:r w:rsidRPr="009E28C5">
        <w:rPr>
          <w:rFonts w:ascii="Calibri Light" w:hAnsi="Calibri Light" w:cs="Calibri Light"/>
          <w:highlight w:val="lightGray"/>
        </w:rPr>
        <w:t>Yleiset kirjastot x 2</w:t>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Yleisten kirjastojen neuvosto</w:t>
      </w:r>
      <w:r w:rsidRPr="009E28C5">
        <w:rPr>
          <w:rFonts w:ascii="Calibri Light" w:hAnsi="Calibri Light" w:cs="Calibri Light"/>
          <w:highlight w:val="lightGray"/>
        </w:rPr>
        <w:tab/>
      </w:r>
      <w:r w:rsidRPr="009E28C5">
        <w:rPr>
          <w:rFonts w:ascii="Calibri Light" w:hAnsi="Calibri Light" w:cs="Calibri Light"/>
          <w:highlight w:val="lightGray"/>
        </w:rPr>
        <w:tab/>
      </w:r>
    </w:p>
    <w:p w:rsidR="009E28C5" w:rsidRPr="009E28C5" w:rsidRDefault="009E28C5" w:rsidP="009E28C5">
      <w:pPr>
        <w:ind w:left="-5"/>
        <w:rPr>
          <w:rFonts w:ascii="Calibri Light" w:hAnsi="Calibri Light" w:cs="Calibri Light"/>
        </w:rPr>
      </w:pPr>
      <w:r w:rsidRPr="009E28C5">
        <w:rPr>
          <w:rFonts w:ascii="Calibri Light" w:hAnsi="Calibri Light" w:cs="Calibri Light"/>
        </w:rPr>
        <w:t>Opetus- ja kulttuuriministeriö, tiedepolitiikka</w:t>
      </w:r>
      <w:r w:rsidRPr="009E28C5">
        <w:rPr>
          <w:rFonts w:ascii="Calibri Light" w:hAnsi="Calibri Light" w:cs="Calibri Light"/>
        </w:rPr>
        <w:tab/>
        <w:t>Opetus- ja kulttuuriministeriö</w:t>
      </w:r>
      <w:r w:rsidRPr="009E28C5">
        <w:rPr>
          <w:rFonts w:ascii="Calibri Light" w:hAnsi="Calibri Light" w:cs="Calibri Light"/>
        </w:rPr>
        <w:tab/>
      </w:r>
    </w:p>
    <w:p w:rsidR="009E28C5" w:rsidRPr="009E28C5" w:rsidRDefault="009E28C5" w:rsidP="009E28C5">
      <w:pPr>
        <w:ind w:left="-5"/>
        <w:rPr>
          <w:rFonts w:ascii="Calibri Light" w:hAnsi="Calibri Light" w:cs="Calibri Light"/>
          <w:highlight w:val="lightGray"/>
        </w:rPr>
      </w:pPr>
      <w:r w:rsidRPr="009E28C5">
        <w:rPr>
          <w:rFonts w:ascii="Calibri Light" w:hAnsi="Calibri Light" w:cs="Calibri Light"/>
          <w:highlight w:val="lightGray"/>
        </w:rPr>
        <w:t>Opetus- ja kulttuuriministeriö, kulttuuripolitiikka</w:t>
      </w:r>
      <w:r w:rsidRPr="009E28C5">
        <w:rPr>
          <w:rFonts w:ascii="Calibri Light" w:hAnsi="Calibri Light" w:cs="Calibri Light"/>
          <w:highlight w:val="lightGray"/>
        </w:rPr>
        <w:tab/>
        <w:t>Opetus- ja kulttuuriministeriö</w:t>
      </w:r>
      <w:r w:rsidRPr="009E28C5">
        <w:rPr>
          <w:rFonts w:ascii="Calibri Light" w:hAnsi="Calibri Light" w:cs="Calibri Light"/>
          <w:highlight w:val="lightGray"/>
        </w:rPr>
        <w:tab/>
      </w:r>
      <w:r>
        <w:rPr>
          <w:rFonts w:ascii="Calibri Light" w:hAnsi="Calibri Light" w:cs="Calibri Light"/>
          <w:highlight w:val="lightGray"/>
        </w:rPr>
        <w:tab/>
      </w:r>
    </w:p>
    <w:p w:rsidR="009E28C5" w:rsidRPr="009E28C5" w:rsidRDefault="009E28C5" w:rsidP="009E28C5">
      <w:pPr>
        <w:ind w:left="5216" w:hanging="5231"/>
        <w:rPr>
          <w:rFonts w:ascii="Calibri Light" w:hAnsi="Calibri Light" w:cs="Calibri Light"/>
        </w:rPr>
      </w:pPr>
      <w:r w:rsidRPr="009E28C5">
        <w:rPr>
          <w:rFonts w:ascii="Calibri Light" w:hAnsi="Calibri Light" w:cs="Calibri Light"/>
        </w:rPr>
        <w:t>Aluehall</w:t>
      </w:r>
      <w:r w:rsidRPr="009E28C5">
        <w:rPr>
          <w:rFonts w:ascii="Calibri Light" w:hAnsi="Calibri Light" w:cs="Calibri Light"/>
        </w:rPr>
        <w:t>intovirastojen kirjastotoimesta</w:t>
      </w:r>
      <w:r w:rsidRPr="009E28C5">
        <w:rPr>
          <w:rFonts w:ascii="Calibri Light" w:hAnsi="Calibri Light" w:cs="Calibri Light"/>
        </w:rPr>
        <w:tab/>
      </w:r>
      <w:r w:rsidRPr="009E28C5">
        <w:rPr>
          <w:rFonts w:ascii="Calibri Light" w:hAnsi="Calibri Light" w:cs="Calibri Light"/>
        </w:rPr>
        <w:t>Aluehallintovirastojen kirjastotoimesta</w:t>
      </w:r>
    </w:p>
    <w:p w:rsidR="009E28C5" w:rsidRPr="009E28C5" w:rsidRDefault="009E28C5" w:rsidP="009E28C5">
      <w:pPr>
        <w:ind w:left="5216" w:hanging="5231"/>
        <w:rPr>
          <w:rFonts w:ascii="Calibri Light" w:hAnsi="Calibri Light" w:cs="Calibri Light"/>
        </w:rPr>
      </w:pPr>
      <w:r w:rsidRPr="009E28C5">
        <w:rPr>
          <w:rFonts w:ascii="Calibri Light" w:hAnsi="Calibri Light" w:cs="Calibri Light"/>
        </w:rPr>
        <w:t>vastaavat yksiköt</w:t>
      </w:r>
      <w:r w:rsidRPr="009E28C5">
        <w:rPr>
          <w:rFonts w:ascii="Calibri Light" w:hAnsi="Calibri Light" w:cs="Calibri Light"/>
        </w:rPr>
        <w:tab/>
        <w:t>vastaavat yksiköt</w:t>
      </w:r>
    </w:p>
    <w:p w:rsidR="009E28C5" w:rsidRPr="009E28C5" w:rsidRDefault="009E28C5" w:rsidP="009E28C5">
      <w:pPr>
        <w:ind w:left="-5"/>
        <w:rPr>
          <w:highlight w:val="lightGray"/>
        </w:rPr>
      </w:pPr>
      <w:r w:rsidRPr="009E28C5">
        <w:rPr>
          <w:rFonts w:ascii="Calibri Light" w:hAnsi="Calibri Light" w:cs="Calibri Light"/>
          <w:highlight w:val="lightGray"/>
        </w:rPr>
        <w:t>Kansalliskirjasto: kirjastoverkkopalvelut</w:t>
      </w:r>
      <w:r w:rsidRPr="009E28C5">
        <w:rPr>
          <w:rFonts w:ascii="Calibri Light" w:hAnsi="Calibri Light" w:cs="Calibri Light"/>
          <w:highlight w:val="lightGray"/>
        </w:rPr>
        <w:tab/>
      </w:r>
      <w:r w:rsidRPr="009E28C5">
        <w:rPr>
          <w:rFonts w:ascii="Calibri Light" w:hAnsi="Calibri Light" w:cs="Calibri Light"/>
          <w:highlight w:val="lightGray"/>
        </w:rPr>
        <w:tab/>
      </w:r>
      <w:r w:rsidRPr="009E28C5">
        <w:rPr>
          <w:rFonts w:ascii="Calibri Light" w:hAnsi="Calibri Light" w:cs="Calibri Light"/>
          <w:highlight w:val="lightGray"/>
        </w:rPr>
        <w:t>Kansalliskirjasto</w:t>
      </w:r>
      <w:r w:rsidRPr="009E28C5">
        <w:rPr>
          <w:rFonts w:ascii="Calibri Light" w:hAnsi="Calibri Light" w:cs="Calibri Light"/>
          <w:highlight w:val="lightGray"/>
        </w:rPr>
        <w:tab/>
      </w:r>
      <w:r>
        <w:rPr>
          <w:highlight w:val="lightGray"/>
        </w:rPr>
        <w:tab/>
      </w:r>
    </w:p>
    <w:p w:rsidR="006409D9" w:rsidRDefault="006409D9">
      <w:pPr>
        <w:spacing w:after="0" w:line="259" w:lineRule="auto"/>
        <w:ind w:left="0" w:firstLine="0"/>
      </w:pPr>
    </w:p>
    <w:p w:rsidR="006409D9" w:rsidRDefault="00EA6021">
      <w:pPr>
        <w:ind w:left="-5"/>
      </w:pPr>
      <w:r>
        <w:t xml:space="preserve">Kansalliskirjasto pyytää esitykset ohjausryhmän edustajista esittäjä-sarakkeessa mainituilta organisaatioilta. </w:t>
      </w:r>
    </w:p>
    <w:p w:rsidR="006409D9" w:rsidRDefault="00EA6021">
      <w:pPr>
        <w:ind w:left="-5"/>
      </w:pPr>
      <w:r>
        <w:t xml:space="preserve">Kansalliskirjaston johtokunta nimittää ohjausryhmän jäsenet ja näille varajäsenet sekä puheenjohtajan. Ohjausryhmä nimeää keskuudestaan varapuheenjohtajan. </w:t>
      </w:r>
    </w:p>
    <w:p w:rsidR="006409D9" w:rsidRDefault="00EA6021">
      <w:pPr>
        <w:ind w:left="-5"/>
      </w:pPr>
      <w:r>
        <w:t>Ohjausryhmän puheenjohtajana toimii joku osallistuvien sektoreiden edustaja. Varapuheenjohtajan tulee edustaa toista sektoria kuin puheenjohtaja.</w:t>
      </w:r>
      <w:r>
        <w:rPr>
          <w:sz w:val="20"/>
        </w:rPr>
        <w:t xml:space="preserve"> </w:t>
      </w:r>
    </w:p>
    <w:p w:rsidR="006409D9" w:rsidRDefault="00EA6021">
      <w:pPr>
        <w:spacing w:after="0" w:line="259" w:lineRule="auto"/>
        <w:ind w:left="0" w:firstLine="0"/>
      </w:pPr>
      <w:r>
        <w:rPr>
          <w:b/>
        </w:rPr>
        <w:t xml:space="preserve"> </w:t>
      </w:r>
    </w:p>
    <w:p w:rsidR="006409D9" w:rsidRDefault="00EA6021" w:rsidP="00EA6021">
      <w:pPr>
        <w:pStyle w:val="Otsikko3"/>
      </w:pPr>
      <w:r>
        <w:t xml:space="preserve">5. Ohjausryhmän toimikausi </w:t>
      </w:r>
    </w:p>
    <w:p w:rsidR="006409D9" w:rsidRDefault="00EA6021">
      <w:pPr>
        <w:ind w:left="-5"/>
      </w:pPr>
      <w:r>
        <w:t xml:space="preserve">Ohjausryhmän toimikausi on neljä (4) vuotta (tulossopimuskausi). </w:t>
      </w:r>
    </w:p>
    <w:p w:rsidR="006409D9" w:rsidRDefault="00EA6021">
      <w:pPr>
        <w:spacing w:after="0" w:line="259" w:lineRule="auto"/>
        <w:ind w:left="0" w:firstLine="0"/>
      </w:pPr>
      <w:r>
        <w:rPr>
          <w:b/>
        </w:rPr>
        <w:t xml:space="preserve"> </w:t>
      </w:r>
    </w:p>
    <w:p w:rsidR="006409D9" w:rsidRDefault="00EA6021" w:rsidP="00EA6021">
      <w:pPr>
        <w:pStyle w:val="Otsikko3"/>
      </w:pPr>
      <w:r>
        <w:t xml:space="preserve">6. Ohjausryhmän kokoukset ja koollekutsuminen </w:t>
      </w:r>
    </w:p>
    <w:p w:rsidR="006409D9" w:rsidRDefault="00EA6021">
      <w:pPr>
        <w:ind w:left="-5" w:right="532"/>
      </w:pPr>
      <w:r>
        <w:t xml:space="preserve">Ohjausryhmä kokoontuu vähintään kolme kertaa vuodessa. Koollekutsujana, esittelijöinä ja sihteerinä toimivat Kansalliskirjaston henkilökuntaan kuuluvat henkilöt. Kokouskutsut ja asialista toimitetaan sähköisesti ohjausryhmän jäsenille viimeistään yksi (1) viikko ennen kokousta. Kokouksiin voidaan kutsua myös ulkopuolisia asiantuntijoita. Etäosallistuminen kokouksiin on mahdollista edellyttäen, että edustaja on toimittanut tiedon etäosallistumisesta Kansalliskirjastolle tämän asettaman määräajan puitteissa.   </w:t>
      </w:r>
    </w:p>
    <w:p w:rsidR="006409D9" w:rsidRDefault="00EA6021">
      <w:pPr>
        <w:spacing w:after="0" w:line="259" w:lineRule="auto"/>
        <w:ind w:left="0" w:firstLine="0"/>
      </w:pPr>
      <w:r>
        <w:t xml:space="preserve"> </w:t>
      </w:r>
    </w:p>
    <w:p w:rsidR="006409D9" w:rsidRDefault="00EA6021" w:rsidP="00EA6021">
      <w:pPr>
        <w:pStyle w:val="Otsikko3"/>
      </w:pPr>
      <w:r>
        <w:t xml:space="preserve">7. Ohjausryhmän päätösvaltaisuus </w:t>
      </w:r>
    </w:p>
    <w:p w:rsidR="006409D9" w:rsidRDefault="00EA6021">
      <w:pPr>
        <w:ind w:left="-5"/>
      </w:pPr>
      <w:r>
        <w:t xml:space="preserve">Ohjausryhmä on </w:t>
      </w:r>
      <w:bookmarkStart w:id="0" w:name="_GoBack"/>
      <w:bookmarkEnd w:id="0"/>
      <w:r w:rsidR="009E28C5">
        <w:t>päätösvaltainen,</w:t>
      </w:r>
      <w:r>
        <w:t xml:space="preserve"> kun vähintään puolet jäsenistä on paikalla. </w:t>
      </w:r>
    </w:p>
    <w:p w:rsidR="006409D9" w:rsidRDefault="00EA6021">
      <w:pPr>
        <w:spacing w:after="0" w:line="259" w:lineRule="auto"/>
        <w:ind w:left="0" w:firstLine="0"/>
      </w:pPr>
      <w:r>
        <w:t xml:space="preserve"> </w:t>
      </w:r>
    </w:p>
    <w:p w:rsidR="006409D9" w:rsidRDefault="00EA6021" w:rsidP="00EA6021">
      <w:pPr>
        <w:pStyle w:val="Otsikko3"/>
      </w:pPr>
      <w:r>
        <w:t xml:space="preserve">8. Ohjausryhmän toiminnan kustannukset </w:t>
      </w:r>
    </w:p>
    <w:p w:rsidR="006409D9" w:rsidRDefault="00EA6021">
      <w:pPr>
        <w:ind w:left="-5"/>
      </w:pPr>
      <w:r>
        <w:t xml:space="preserve">Ohjausryhmän toimintaan osallistumisesta aiheutuvista kustannuksista vastaa Kansalliskirjasto. Matkakustannukset korvataan Helsingin yliopiston matkustusohjeen mukaisesti. Kokouspalkkioita ja päivärahoja ei makseta.  </w:t>
      </w:r>
    </w:p>
    <w:sectPr w:rsidR="006409D9" w:rsidSect="00EA6021">
      <w:pgSz w:w="11906" w:h="16838"/>
      <w:pgMar w:top="1304" w:right="1134" w:bottom="1247"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1A78"/>
    <w:multiLevelType w:val="hybridMultilevel"/>
    <w:tmpl w:val="39B07198"/>
    <w:lvl w:ilvl="0" w:tplc="6A1E57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E6AC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C49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AA97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58CD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C99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FC85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5A49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A26C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C73263"/>
    <w:multiLevelType w:val="hybridMultilevel"/>
    <w:tmpl w:val="674C69E4"/>
    <w:lvl w:ilvl="0" w:tplc="D92E59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C25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A4A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96E0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279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9610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2253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20D1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0E6C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D9"/>
    <w:rsid w:val="006409D9"/>
    <w:rsid w:val="009E28C5"/>
    <w:rsid w:val="00EA3CF4"/>
    <w:rsid w:val="00EA602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761D"/>
  <w15:docId w15:val="{AB35C83E-733A-40B2-83A0-234F5730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5" w:line="249" w:lineRule="auto"/>
      <w:ind w:left="10" w:hanging="10"/>
    </w:pPr>
    <w:rPr>
      <w:rFonts w:ascii="Calibri" w:eastAsia="Calibri" w:hAnsi="Calibri" w:cs="Calibri"/>
      <w:color w:val="000000"/>
    </w:rPr>
  </w:style>
  <w:style w:type="paragraph" w:styleId="Otsikko1">
    <w:name w:val="heading 1"/>
    <w:next w:val="Normaali"/>
    <w:link w:val="Otsikko1Char"/>
    <w:uiPriority w:val="9"/>
    <w:unhideWhenUsed/>
    <w:qFormat/>
    <w:pPr>
      <w:keepNext/>
      <w:keepLines/>
      <w:spacing w:after="0"/>
      <w:ind w:left="10" w:hanging="10"/>
      <w:outlineLvl w:val="0"/>
    </w:pPr>
    <w:rPr>
      <w:rFonts w:ascii="Calibri" w:eastAsia="Calibri" w:hAnsi="Calibri" w:cs="Calibri"/>
      <w:b/>
      <w:color w:val="000000"/>
    </w:rPr>
  </w:style>
  <w:style w:type="paragraph" w:styleId="Otsikko2">
    <w:name w:val="heading 2"/>
    <w:basedOn w:val="Normaali"/>
    <w:next w:val="Normaali"/>
    <w:link w:val="Otsikko2Char"/>
    <w:uiPriority w:val="9"/>
    <w:unhideWhenUsed/>
    <w:qFormat/>
    <w:rsid w:val="00EA6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EA6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9E28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Otsikko2Char">
    <w:name w:val="Otsikko 2 Char"/>
    <w:basedOn w:val="Kappaleenoletusfontti"/>
    <w:link w:val="Otsikko2"/>
    <w:uiPriority w:val="9"/>
    <w:rsid w:val="00EA6021"/>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EA6021"/>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9E28C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429</Words>
  <Characters>3483</Characters>
  <Application>Microsoft Office Word</Application>
  <DocSecurity>0</DocSecurity>
  <Lines>29</Lines>
  <Paragraphs>7</Paragraphs>
  <ScaleCrop>false</ScaleCrop>
  <Company>University of Helsinki</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Manninen, Terhi T</dc:creator>
  <cp:keywords/>
  <cp:lastModifiedBy>Siltanen, Anna</cp:lastModifiedBy>
  <cp:revision>4</cp:revision>
  <dcterms:created xsi:type="dcterms:W3CDTF">2019-11-26T11:25:00Z</dcterms:created>
  <dcterms:modified xsi:type="dcterms:W3CDTF">2019-11-29T13:06:00Z</dcterms:modified>
</cp:coreProperties>
</file>